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577AB" w14:textId="68D65E02" w:rsidR="0023339F" w:rsidRPr="00D93109" w:rsidRDefault="00367429" w:rsidP="00B47F36">
      <w:pPr>
        <w:spacing w:after="0" w:line="276" w:lineRule="auto"/>
        <w:ind w:left="1440" w:firstLine="720"/>
        <w:rPr>
          <w:rFonts w:ascii="Calibri" w:hAnsi="Calibri" w:cs="Calibri"/>
        </w:rPr>
      </w:pPr>
      <w:r w:rsidRPr="00D93109">
        <w:rPr>
          <w:rFonts w:ascii="Calibri" w:hAnsi="Calibri" w:cs="Calibri"/>
          <w:noProof/>
        </w:rPr>
        <w:drawing>
          <wp:inline distT="0" distB="0" distL="0" distR="0" wp14:anchorId="0DFD224B" wp14:editId="2F434A83">
            <wp:extent cx="3331471" cy="804674"/>
            <wp:effectExtent l="0" t="0" r="2540" b="0"/>
            <wp:docPr id="275452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52709" name="Picture 2754527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71" cy="80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3123C" w14:textId="476881A9" w:rsidR="00826A3B" w:rsidRPr="00D93109" w:rsidRDefault="00826A3B" w:rsidP="00B47F36">
      <w:pPr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SAMPLE POLICY:  ETHOS SOP</w:t>
      </w:r>
    </w:p>
    <w:p w14:paraId="0F43145A" w14:textId="77777777" w:rsidR="001D0F29" w:rsidRPr="00D93109" w:rsidRDefault="001D0F29" w:rsidP="00B47F36">
      <w:pPr>
        <w:spacing w:after="0" w:line="276" w:lineRule="auto"/>
        <w:jc w:val="center"/>
        <w:rPr>
          <w:rFonts w:ascii="Calibri" w:eastAsia="Times New Roman" w:hAnsi="Calibri" w:cs="Calibri"/>
          <w:kern w:val="0"/>
          <w14:ligatures w14:val="none"/>
        </w:rPr>
      </w:pPr>
    </w:p>
    <w:p w14:paraId="471F4D2E" w14:textId="1B708003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Policy Name: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Ethos® Standard Operating Procedure</w:t>
      </w:r>
    </w:p>
    <w:p w14:paraId="45EBB939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16E0BF32" w14:textId="75EECD3F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Last Review Date: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04/01/2026                                         </w:t>
      </w: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Date of Origin: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01/01/2026</w:t>
      </w:r>
    </w:p>
    <w:p w14:paraId="6544D269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4713A0B4" w14:textId="1C48EEF9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Scope: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Applies to all hospitals, clinics, and ambulatory areas in the healthcare system.</w:t>
      </w:r>
    </w:p>
    <w:p w14:paraId="35047E5B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5708F46D" w14:textId="08702FDF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Policy: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The healthcare system is committed to safe and effective reprocessing of endocavity and surface probes through standardized &amp; automated cleaning and high-level disinfection (HLD).</w:t>
      </w:r>
    </w:p>
    <w:p w14:paraId="52E92413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0D95EE0A" w14:textId="5519D13B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Purpose: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To promote compliance, patient safety, and infection prevention with accepted guidelines for the reprocessing of endocavity and surface probes between patient use.</w:t>
      </w:r>
    </w:p>
    <w:p w14:paraId="5A7CA697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4BD9B373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Key Words:</w:t>
      </w:r>
    </w:p>
    <w:p w14:paraId="79C616FE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Point of Use Treatment: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the prompt, initial treatment steps and/or measures to prevent drying of soil and contaminants in and on the device, as well as to prepare the device for further processing</w:t>
      </w:r>
    </w:p>
    <w:p w14:paraId="3F6D14C5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Note to entry: Previously referred to as pre-cleaning, the adoption of the term "point of use treatment" is for greater clarity as to the intention of this step. Additional measures could include disconnecting accessories, etc.</w:t>
      </w:r>
    </w:p>
    <w:p w14:paraId="56C2A534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Point-of-use: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occurring at the bedside or where the procedure was performed</w:t>
      </w:r>
    </w:p>
    <w:p w14:paraId="04489B5A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Cleaning: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removal of contamination from an item to the extent necessary for further processing or for the intended use</w:t>
      </w:r>
    </w:p>
    <w:p w14:paraId="707C8EE7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Personal Protective Equipment (PPE</w:t>
      </w:r>
      <w:r w:rsidRPr="00D93109">
        <w:rPr>
          <w:rFonts w:ascii="Calibri" w:eastAsia="Times New Roman" w:hAnsi="Calibri" w:cs="Calibri"/>
          <w:kern w:val="0"/>
          <w14:ligatures w14:val="none"/>
        </w:rPr>
        <w:t>): according to the Code of Federal Regulations, “specialized clothing or equipment worn by an employee for protection against hazardous materials, blood-borne pathogens, or other potential infectious materials. General work clothes (e.g., uniforms, pants, shirts or blouses) not intended to function as protection against a hazard are not considered to be personal protective equipment” (29 CFR 1910.1030)</w:t>
      </w:r>
    </w:p>
    <w:p w14:paraId="7583317F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Low-level disinfection (LLD):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lethal process utilizing an agent that kills vegetative forms of bacteria, some fungi, and lipid viruses</w:t>
      </w:r>
    </w:p>
    <w:p w14:paraId="450EBF76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High-Level Disinfection (HLD):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a process that kills all microbial organisms, but not necessarily large numbers of bacterial spores</w:t>
      </w:r>
    </w:p>
    <w:p w14:paraId="61D3E21D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Enzymatic</w:t>
      </w:r>
      <w:r w:rsidRPr="00D93109">
        <w:rPr>
          <w:rFonts w:ascii="Calibri" w:eastAsia="Times New Roman" w:hAnsi="Calibri" w:cs="Calibri"/>
          <w:kern w:val="0"/>
          <w14:ligatures w14:val="none"/>
        </w:rPr>
        <w:t>: specialized solutions used for cleaning, typically made up of proteases, amylases, and lipases—designed to break down organic soils, such as blood, tissue, fats, and biofilms.</w:t>
      </w:r>
    </w:p>
    <w:p w14:paraId="189660FB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Biohazard</w:t>
      </w:r>
      <w:r w:rsidRPr="00D93109">
        <w:rPr>
          <w:rFonts w:ascii="Calibri" w:eastAsia="Times New Roman" w:hAnsi="Calibri" w:cs="Calibri"/>
          <w:kern w:val="0"/>
          <w14:ligatures w14:val="none"/>
        </w:rPr>
        <w:t>: any used instrument, tool, or consumable item contaminated with blood, bodily fluids, or other potentially infectious materials (OPIM) that poses a risk of transmitting pathogens (such as HIV, hepatitis, or bacteria) to humans or the environment</w:t>
      </w:r>
    </w:p>
    <w:p w14:paraId="5C134CFB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Don: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securely putting on protective gear (e.g., gown, mask, goggles, gloves) before potential exposure</w:t>
      </w:r>
    </w:p>
    <w:p w14:paraId="6B7D242E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Doff: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the systematic, safe removal of PPE, often in a specific order to avoid self-contamination, typically from dirtiest to cleanest.</w:t>
      </w:r>
    </w:p>
    <w:p w14:paraId="3AE1E13D" w14:textId="7B0FC6BE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14:ligatures w14:val="none"/>
        </w:rPr>
        <w:t>HEPA filtration: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a high-efficiency mechanical air filtration system that removes at least 99.97% of airborne particles, bacteria, and potential contaminants with a size of 0.3 microns (µm) or larger from the air inside a storage cabinet</w:t>
      </w:r>
    </w:p>
    <w:p w14:paraId="274869B3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</w:p>
    <w:p w14:paraId="068AA3A0" w14:textId="77777777" w:rsidR="00826A3B" w:rsidRPr="00D93109" w:rsidRDefault="00826A3B" w:rsidP="00B47F36">
      <w:pPr>
        <w:spacing w:after="0" w:line="276" w:lineRule="auto"/>
        <w:jc w:val="center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Procedure:</w:t>
      </w:r>
    </w:p>
    <w:p w14:paraId="0FB3E906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Pre-Cleaning:</w:t>
      </w:r>
    </w:p>
    <w:p w14:paraId="03FF51FE" w14:textId="77777777" w:rsidR="00826A3B" w:rsidRPr="00D93109" w:rsidRDefault="00826A3B" w:rsidP="00B47F36">
      <w:pPr>
        <w:numPr>
          <w:ilvl w:val="0"/>
          <w:numId w:val="17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Don appropriate PPE per facility policy.</w:t>
      </w:r>
    </w:p>
    <w:p w14:paraId="74F92356" w14:textId="49D20C48" w:rsidR="00826A3B" w:rsidRDefault="00826A3B" w:rsidP="00B47F36">
      <w:pPr>
        <w:numPr>
          <w:ilvl w:val="0"/>
          <w:numId w:val="17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Perform pre-cleaning at the point of use, per the IFU, before blood, gel, body fluids, or bioburden have a chance to dry. Remove the sterile sheath/condom during the pre-cleaning process.</w:t>
      </w:r>
    </w:p>
    <w:p w14:paraId="1A2E13C7" w14:textId="77777777" w:rsidR="00D93109" w:rsidRPr="00D93109" w:rsidRDefault="00D93109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14CD7E93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Soiled Transport:</w:t>
      </w:r>
    </w:p>
    <w:p w14:paraId="2A7D8946" w14:textId="77777777" w:rsidR="00826A3B" w:rsidRPr="00D93109" w:rsidRDefault="00826A3B" w:rsidP="00B47F36">
      <w:pPr>
        <w:numPr>
          <w:ilvl w:val="0"/>
          <w:numId w:val="18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To prevent cross-contamination and probe damage, place the probe in a biohazard Probe Valet</w:t>
      </w:r>
      <w:r w:rsidRPr="00D93109">
        <w:rPr>
          <w:rFonts w:ascii="Calibri" w:eastAsia="Times New Roman" w:hAnsi="Calibri" w:cs="Calibri"/>
          <w:kern w:val="0"/>
          <w:vertAlign w:val="superscript"/>
          <w14:ligatures w14:val="none"/>
        </w:rPr>
        <w:t>TM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bag to separate the parts that need high-level disinfection (HLD) from the cord and electrical pack that need low-level disinfection (LLD). Seal the top of the bag.</w:t>
      </w:r>
    </w:p>
    <w:p w14:paraId="2D07FAED" w14:textId="74B9892A" w:rsidR="00826A3B" w:rsidRDefault="00826A3B" w:rsidP="00B47F36">
      <w:pPr>
        <w:numPr>
          <w:ilvl w:val="0"/>
          <w:numId w:val="18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Doff and discard PPE. Cleanse hands.</w:t>
      </w:r>
    </w:p>
    <w:p w14:paraId="0CD0023A" w14:textId="77777777" w:rsidR="00D93109" w:rsidRPr="00D93109" w:rsidRDefault="00D93109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26322E4A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Cleaning &amp; High-Level Disinfection</w:t>
      </w:r>
    </w:p>
    <w:p w14:paraId="6E269EB4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Don appropriate PPE, per facility policy.</w:t>
      </w:r>
    </w:p>
    <w:p w14:paraId="5AA346B7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Place the endocavity/surface probe inside the Ethos chamber. Close the chamber door.</w:t>
      </w:r>
    </w:p>
    <w:p w14:paraId="44DCC6E7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Scan the operator’s name and the probe serial number.</w:t>
      </w:r>
    </w:p>
    <w:p w14:paraId="64C75F63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Insert the AquaCide® cleaner-disinfectant bottle into the Ethos equipment.</w:t>
      </w:r>
    </w:p>
    <w:p w14:paraId="4FA34024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Start Cleaning &amp; HLD cycle.</w:t>
      </w:r>
    </w:p>
    <w:p w14:paraId="44E0837D" w14:textId="77777777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LLD cord and electrical pack.</w:t>
      </w:r>
    </w:p>
    <w:p w14:paraId="36E7EDB8" w14:textId="7AD96BE5" w:rsidR="00826A3B" w:rsidRPr="00D93109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At completion of the cycle, record PASS/FAIL results in the logbook.</w:t>
      </w:r>
    </w:p>
    <w:p w14:paraId="7905BD1C" w14:textId="77777777" w:rsidR="00B47F36" w:rsidRPr="002D0C6E" w:rsidRDefault="00B47F36" w:rsidP="00B47F36">
      <w:pPr>
        <w:pStyle w:val="ListParagraph"/>
        <w:numPr>
          <w:ilvl w:val="1"/>
          <w:numId w:val="19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Note the next vapor filter and 5nm water filter change dates, printed out on cycle receipt. </w:t>
      </w:r>
    </w:p>
    <w:p w14:paraId="1DE58ACE" w14:textId="0F9B85F9" w:rsidR="00826A3B" w:rsidRDefault="00826A3B" w:rsidP="00B47F36">
      <w:pPr>
        <w:numPr>
          <w:ilvl w:val="0"/>
          <w:numId w:val="19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Doff PPE. Cleanse hands.</w:t>
      </w:r>
    </w:p>
    <w:p w14:paraId="5C6F4AAB" w14:textId="6C34D574" w:rsidR="00B47F36" w:rsidRDefault="00B47F36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41EDADC4" w14:textId="562FFDF6" w:rsidR="00B47F36" w:rsidRDefault="00B47F36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0A2EA455" w14:textId="3A62FBD0" w:rsidR="00B47F36" w:rsidRDefault="00B47F36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0263377A" w14:textId="3353FFCA" w:rsidR="00B47F36" w:rsidRDefault="00B47F36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3888B244" w14:textId="77777777" w:rsidR="00B47F36" w:rsidRPr="00D93109" w:rsidRDefault="00B47F36" w:rsidP="00B47F36">
      <w:pPr>
        <w:spacing w:after="0" w:line="276" w:lineRule="auto"/>
        <w:ind w:left="720"/>
        <w:rPr>
          <w:rFonts w:ascii="Calibri" w:eastAsia="Times New Roman" w:hAnsi="Calibri" w:cs="Calibri"/>
          <w:kern w:val="0"/>
          <w14:ligatures w14:val="none"/>
        </w:rPr>
      </w:pPr>
    </w:p>
    <w:p w14:paraId="0A0ACDCA" w14:textId="77777777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lastRenderedPageBreak/>
        <w:t>Drying &amp; Storage:</w:t>
      </w:r>
    </w:p>
    <w:p w14:paraId="5B8586C3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Don clean gloves.</w:t>
      </w:r>
    </w:p>
    <w:p w14:paraId="2C8FD283" w14:textId="48A514E6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 xml:space="preserve">Using a QwikDry® </w:t>
      </w:r>
      <w:r w:rsidR="00B47F36">
        <w:rPr>
          <w:rFonts w:ascii="Calibri" w:eastAsia="Times New Roman" w:hAnsi="Calibri" w:cs="Calibri"/>
          <w:kern w:val="0"/>
          <w14:ligatures w14:val="none"/>
        </w:rPr>
        <w:t>cloth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(single-use, single-packaged, low-linting drying cloth), remove the endocavity/surface probe from the Ethos machine and dry the entire length of the probe handle and shaft.</w:t>
      </w:r>
    </w:p>
    <w:p w14:paraId="248BC61B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Hang the endocavity/surface probe vertically in a storage cabinet designated specifically for that type of probe, ensuring the HLD and LLD components do not come in contact with each other.</w:t>
      </w:r>
    </w:p>
    <w:p w14:paraId="213BBD79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Doff gloves. Cleanse hands.</w:t>
      </w:r>
    </w:p>
    <w:p w14:paraId="0BE07F43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A storage cabinet should have HEPA-filtered air circulation and a locking mechanism on the door.</w:t>
      </w:r>
    </w:p>
    <w:p w14:paraId="3E7ED893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Use a Hang Time Tag</w:t>
      </w:r>
      <w:r w:rsidRPr="00D93109">
        <w:rPr>
          <w:rFonts w:ascii="Calibri" w:eastAsia="Times New Roman" w:hAnsi="Calibri" w:cs="Calibri"/>
          <w:kern w:val="0"/>
          <w:vertAlign w:val="superscript"/>
          <w14:ligatures w14:val="none"/>
        </w:rPr>
        <w:t>TM</w:t>
      </w:r>
      <w:r w:rsidRPr="00D93109">
        <w:rPr>
          <w:rFonts w:ascii="Calibri" w:eastAsia="Times New Roman" w:hAnsi="Calibri" w:cs="Calibri"/>
          <w:kern w:val="0"/>
          <w14:ligatures w14:val="none"/>
        </w:rPr>
        <w:t xml:space="preserve"> on each probe to indicate when the probe's storage time has expired, and reprocessing is required.</w:t>
      </w:r>
    </w:p>
    <w:p w14:paraId="234751D3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Reprocess each probe once 7 days of storage have elapsed.</w:t>
      </w:r>
    </w:p>
    <w:p w14:paraId="021ADE01" w14:textId="77777777" w:rsidR="00826A3B" w:rsidRPr="00D93109" w:rsidRDefault="00826A3B" w:rsidP="00B47F36">
      <w:pPr>
        <w:numPr>
          <w:ilvl w:val="0"/>
          <w:numId w:val="20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Cabinets used for probe storage should be cleaned and disinfected with hospital-approved disinfectant when visibly soiled, and weekly.</w:t>
      </w:r>
    </w:p>
    <w:p w14:paraId="06828A57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</w:pPr>
    </w:p>
    <w:p w14:paraId="5BC37160" w14:textId="4D7116BF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Training &amp; Competency</w:t>
      </w:r>
      <w:r w:rsidRPr="00D93109">
        <w:rPr>
          <w:rFonts w:ascii="Calibri" w:eastAsia="Times New Roman" w:hAnsi="Calibri" w:cs="Calibri"/>
          <w:kern w:val="0"/>
          <w14:ligatures w14:val="none"/>
        </w:rPr>
        <w:t>:</w:t>
      </w:r>
    </w:p>
    <w:p w14:paraId="2908E9CA" w14:textId="34361765" w:rsidR="00826A3B" w:rsidRPr="00D93109" w:rsidRDefault="00826A3B" w:rsidP="00B47F36">
      <w:pPr>
        <w:numPr>
          <w:ilvl w:val="0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Personnel involved in probe processing using HLD must be provided education, training, and complete competency verification activities related to their duties at a minimum, at the following times:</w:t>
      </w:r>
    </w:p>
    <w:p w14:paraId="55FDB409" w14:textId="77777777" w:rsidR="00826A3B" w:rsidRPr="00D93109" w:rsidRDefault="00826A3B" w:rsidP="00B47F36">
      <w:pPr>
        <w:numPr>
          <w:ilvl w:val="1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Upon initial hire</w:t>
      </w:r>
    </w:p>
    <w:p w14:paraId="00F0AC51" w14:textId="77777777" w:rsidR="00826A3B" w:rsidRPr="00D93109" w:rsidRDefault="00826A3B" w:rsidP="00B47F36">
      <w:pPr>
        <w:numPr>
          <w:ilvl w:val="1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Annually</w:t>
      </w:r>
    </w:p>
    <w:p w14:paraId="2C0F5A3F" w14:textId="77777777" w:rsidR="00826A3B" w:rsidRPr="00D93109" w:rsidRDefault="00826A3B" w:rsidP="00B47F36">
      <w:pPr>
        <w:numPr>
          <w:ilvl w:val="1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When new equipment, probes, or supplies are brought into the department</w:t>
      </w:r>
    </w:p>
    <w:p w14:paraId="6405ECEA" w14:textId="77777777" w:rsidR="00826A3B" w:rsidRPr="00D93109" w:rsidRDefault="00826A3B" w:rsidP="00B47F36">
      <w:pPr>
        <w:numPr>
          <w:ilvl w:val="1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At any time designated by the department leader</w:t>
      </w:r>
    </w:p>
    <w:p w14:paraId="525EC408" w14:textId="77777777" w:rsidR="00826A3B" w:rsidRPr="00D93109" w:rsidRDefault="00826A3B" w:rsidP="00B47F36">
      <w:pPr>
        <w:numPr>
          <w:ilvl w:val="0"/>
          <w:numId w:val="21"/>
        </w:num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>Processing activities should be closely supervised until competency is verified and documented for each processing task, from cleaning to probe storage.</w:t>
      </w:r>
    </w:p>
    <w:p w14:paraId="3625EDD4" w14:textId="77777777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</w:pPr>
    </w:p>
    <w:p w14:paraId="1893422C" w14:textId="5901D3C4" w:rsidR="00826A3B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References:</w:t>
      </w:r>
    </w:p>
    <w:p w14:paraId="3EF843D7" w14:textId="5F3E02D5" w:rsidR="001D0F29" w:rsidRPr="00D93109" w:rsidRDefault="00826A3B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kern w:val="0"/>
          <w14:ligatures w14:val="none"/>
        </w:rPr>
        <w:t xml:space="preserve">Association for the Advancement of Medical Instrumentation. (2017). </w:t>
      </w:r>
      <w:r w:rsidRPr="00D93109">
        <w:rPr>
          <w:rFonts w:ascii="Calibri" w:eastAsia="Times New Roman" w:hAnsi="Calibri" w:cs="Calibri"/>
          <w:i/>
          <w:kern w:val="0"/>
          <w14:ligatures w14:val="none"/>
        </w:rPr>
        <w:t>ANSI/AAMI TIR99:2024 – Processing of dilators, transesophageal, and ultrasound probes in healthcare facilities</w:t>
      </w:r>
      <w:r w:rsidRPr="00D93109">
        <w:rPr>
          <w:rFonts w:ascii="Calibri" w:eastAsia="Times New Roman" w:hAnsi="Calibri" w:cs="Calibri"/>
          <w:kern w:val="0"/>
          <w14:ligatures w14:val="none"/>
        </w:rPr>
        <w:t>.  Arlington, VA.</w:t>
      </w:r>
    </w:p>
    <w:p w14:paraId="68FF7C5E" w14:textId="2C531DEE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bookmarkStart w:id="0" w:name="_GoBack"/>
      <w:bookmarkEnd w:id="0"/>
    </w:p>
    <w:p w14:paraId="0BB01000" w14:textId="359D91E3" w:rsidR="001D0F29" w:rsidRPr="00D93109" w:rsidRDefault="001D0F29" w:rsidP="00B47F36">
      <w:pPr>
        <w:spacing w:after="0" w:line="276" w:lineRule="auto"/>
        <w:rPr>
          <w:rFonts w:ascii="Calibri" w:eastAsia="Times New Roman" w:hAnsi="Calibri" w:cs="Calibri"/>
          <w:kern w:val="0"/>
          <w14:ligatures w14:val="none"/>
        </w:rPr>
      </w:pPr>
      <w:r w:rsidRPr="00D93109">
        <w:rPr>
          <w:rFonts w:ascii="Calibri" w:eastAsia="Times New Roman" w:hAnsi="Calibri" w:cs="Calibri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8B9A" wp14:editId="16B8C1CC">
                <wp:simplePos x="0" y="0"/>
                <wp:positionH relativeFrom="column">
                  <wp:posOffset>5419725</wp:posOffset>
                </wp:positionH>
                <wp:positionV relativeFrom="paragraph">
                  <wp:posOffset>1995805</wp:posOffset>
                </wp:positionV>
                <wp:extent cx="13335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4FEDB" w14:textId="7AE82C8B" w:rsidR="001D0F29" w:rsidRPr="001D0F29" w:rsidRDefault="001D0F29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1D0F29">
                              <w:rPr>
                                <w:rFonts w:ascii="Calibri" w:hAnsi="Calibri" w:cs="Calibri"/>
                                <w:sz w:val="20"/>
                              </w:rPr>
                              <w:t>CSIB.0051.260415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28B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75pt;margin-top:157.15pt;width:10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" stroked="f">
                <v:textbox>
                  <w:txbxContent>
                    <w:p w14:paraId="13C4FEDB" w14:textId="7AE82C8B" w:rsidR="001D0F29" w:rsidRPr="001D0F29" w:rsidRDefault="001D0F29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  <w:r w:rsidRPr="001D0F29">
                        <w:rPr>
                          <w:rFonts w:ascii="Calibri" w:hAnsi="Calibri" w:cs="Calibri"/>
                          <w:sz w:val="20"/>
                        </w:rPr>
                        <w:t>CSIB.0051.260415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D0F29" w:rsidRPr="00D93109" w:rsidSect="001D0F2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05733" w14:textId="77777777" w:rsidR="00493EE5" w:rsidRDefault="00493EE5" w:rsidP="001D0F29">
      <w:pPr>
        <w:spacing w:after="0" w:line="240" w:lineRule="auto"/>
      </w:pPr>
      <w:r>
        <w:separator/>
      </w:r>
    </w:p>
  </w:endnote>
  <w:endnote w:type="continuationSeparator" w:id="0">
    <w:p w14:paraId="4075E812" w14:textId="77777777" w:rsidR="00493EE5" w:rsidRDefault="00493EE5" w:rsidP="001D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FC30B" w14:textId="77777777" w:rsidR="00493EE5" w:rsidRDefault="00493EE5" w:rsidP="001D0F29">
      <w:pPr>
        <w:spacing w:after="0" w:line="240" w:lineRule="auto"/>
      </w:pPr>
      <w:r>
        <w:separator/>
      </w:r>
    </w:p>
  </w:footnote>
  <w:footnote w:type="continuationSeparator" w:id="0">
    <w:p w14:paraId="55C6B8A3" w14:textId="77777777" w:rsidR="00493EE5" w:rsidRDefault="00493EE5" w:rsidP="001D0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5ABB"/>
    <w:multiLevelType w:val="hybridMultilevel"/>
    <w:tmpl w:val="0CE28E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42"/>
    <w:multiLevelType w:val="hybridMultilevel"/>
    <w:tmpl w:val="4888FD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1A7E"/>
    <w:multiLevelType w:val="multilevel"/>
    <w:tmpl w:val="FA4E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B1006"/>
    <w:multiLevelType w:val="hybridMultilevel"/>
    <w:tmpl w:val="F870A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7CA4"/>
    <w:multiLevelType w:val="hybridMultilevel"/>
    <w:tmpl w:val="D19023AA"/>
    <w:lvl w:ilvl="0" w:tplc="9A262B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E881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188D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08FB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C8BC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76A5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4E90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129D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5EDA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D976B7D"/>
    <w:multiLevelType w:val="hybridMultilevel"/>
    <w:tmpl w:val="D6C602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91095"/>
    <w:multiLevelType w:val="multilevel"/>
    <w:tmpl w:val="A30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B71DA"/>
    <w:multiLevelType w:val="hybridMultilevel"/>
    <w:tmpl w:val="2FA2A188"/>
    <w:lvl w:ilvl="0" w:tplc="72301F7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DEACD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5074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A88C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E4A0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5C09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8619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C4A3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50FC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290F4DCE"/>
    <w:multiLevelType w:val="multilevel"/>
    <w:tmpl w:val="31E0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AB411B"/>
    <w:multiLevelType w:val="multilevel"/>
    <w:tmpl w:val="F56A7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6339D0"/>
    <w:multiLevelType w:val="multilevel"/>
    <w:tmpl w:val="1D92B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A7451E"/>
    <w:multiLevelType w:val="multilevel"/>
    <w:tmpl w:val="A7A0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F23F1"/>
    <w:multiLevelType w:val="hybridMultilevel"/>
    <w:tmpl w:val="41D4CC78"/>
    <w:lvl w:ilvl="0" w:tplc="CBA2B2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95DC7"/>
    <w:multiLevelType w:val="hybridMultilevel"/>
    <w:tmpl w:val="075A6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F2760"/>
    <w:multiLevelType w:val="multilevel"/>
    <w:tmpl w:val="6F8A6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2B3249"/>
    <w:multiLevelType w:val="hybridMultilevel"/>
    <w:tmpl w:val="90F0C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0494B"/>
    <w:multiLevelType w:val="hybridMultilevel"/>
    <w:tmpl w:val="EDD466A2"/>
    <w:lvl w:ilvl="0" w:tplc="B5787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A7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E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729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AAF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A4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89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2A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581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3304ED2"/>
    <w:multiLevelType w:val="multilevel"/>
    <w:tmpl w:val="3A6C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E757D"/>
    <w:multiLevelType w:val="hybridMultilevel"/>
    <w:tmpl w:val="33B28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3"/>
  </w:num>
  <w:num w:numId="7">
    <w:abstractNumId w:val="1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2"/>
    <w:lvlOverride w:ilvl="1">
      <w:lvl w:ilvl="1">
        <w:numFmt w:val="lowerLetter"/>
        <w:lvlText w:val="%2."/>
        <w:lvlJc w:val="left"/>
      </w:lvl>
    </w:lvlOverride>
  </w:num>
  <w:num w:numId="14">
    <w:abstractNumId w:val="8"/>
  </w:num>
  <w:num w:numId="15">
    <w:abstractNumId w:val="17"/>
  </w:num>
  <w:num w:numId="16">
    <w:abstractNumId w:val="17"/>
    <w:lvlOverride w:ilvl="1">
      <w:lvl w:ilvl="1">
        <w:numFmt w:val="lowerLetter"/>
        <w:lvlText w:val="%2."/>
        <w:lvlJc w:val="left"/>
      </w:lvl>
    </w:lvlOverride>
  </w:num>
  <w:num w:numId="17">
    <w:abstractNumId w:val="14"/>
  </w:num>
  <w:num w:numId="18">
    <w:abstractNumId w:val="9"/>
  </w:num>
  <w:num w:numId="19">
    <w:abstractNumId w:val="5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F"/>
    <w:rsid w:val="000156DF"/>
    <w:rsid w:val="00090F50"/>
    <w:rsid w:val="000B17FD"/>
    <w:rsid w:val="000F750E"/>
    <w:rsid w:val="001347BB"/>
    <w:rsid w:val="0018196C"/>
    <w:rsid w:val="001D0F29"/>
    <w:rsid w:val="0023339F"/>
    <w:rsid w:val="002847E8"/>
    <w:rsid w:val="002A69AC"/>
    <w:rsid w:val="002B2929"/>
    <w:rsid w:val="00367429"/>
    <w:rsid w:val="004425F1"/>
    <w:rsid w:val="00453576"/>
    <w:rsid w:val="00493EE5"/>
    <w:rsid w:val="004C5505"/>
    <w:rsid w:val="00504DF8"/>
    <w:rsid w:val="005229F9"/>
    <w:rsid w:val="00582425"/>
    <w:rsid w:val="005C4053"/>
    <w:rsid w:val="005C68FA"/>
    <w:rsid w:val="0064700D"/>
    <w:rsid w:val="006A4F67"/>
    <w:rsid w:val="006C4313"/>
    <w:rsid w:val="00826A3B"/>
    <w:rsid w:val="00856B3D"/>
    <w:rsid w:val="00881C1A"/>
    <w:rsid w:val="008975E5"/>
    <w:rsid w:val="008E5785"/>
    <w:rsid w:val="00944AC3"/>
    <w:rsid w:val="009B13CA"/>
    <w:rsid w:val="00A96778"/>
    <w:rsid w:val="00AA4E3E"/>
    <w:rsid w:val="00AD1779"/>
    <w:rsid w:val="00B23788"/>
    <w:rsid w:val="00B47F36"/>
    <w:rsid w:val="00B90287"/>
    <w:rsid w:val="00BB67A5"/>
    <w:rsid w:val="00BE5AAA"/>
    <w:rsid w:val="00CC5E2F"/>
    <w:rsid w:val="00CD7E7A"/>
    <w:rsid w:val="00D16DFF"/>
    <w:rsid w:val="00D2349B"/>
    <w:rsid w:val="00D25704"/>
    <w:rsid w:val="00D47E9F"/>
    <w:rsid w:val="00D90C80"/>
    <w:rsid w:val="00D93109"/>
    <w:rsid w:val="00DB6957"/>
    <w:rsid w:val="00DE7C1F"/>
    <w:rsid w:val="00DF3D9C"/>
    <w:rsid w:val="00DF7818"/>
    <w:rsid w:val="00E31A99"/>
    <w:rsid w:val="00E5754E"/>
    <w:rsid w:val="00E75974"/>
    <w:rsid w:val="00ED01C3"/>
    <w:rsid w:val="00F6493C"/>
    <w:rsid w:val="00F706B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E5F51"/>
  <w15:chartTrackingRefBased/>
  <w15:docId w15:val="{BCF3879C-D2AA-49A3-BA30-CA1C0764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3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3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33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3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3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39F"/>
    <w:rPr>
      <w:b/>
      <w:bCs/>
      <w:smallCaps/>
      <w:color w:val="0F4761" w:themeColor="accent1" w:themeShade="BF"/>
      <w:spacing w:val="5"/>
    </w:rPr>
  </w:style>
  <w:style w:type="paragraph" w:customStyle="1" w:styleId="list3">
    <w:name w:val="list3"/>
    <w:basedOn w:val="Heading7"/>
    <w:uiPriority w:val="10"/>
    <w:rsid w:val="000156DF"/>
    <w:pPr>
      <w:keepNext w:val="0"/>
      <w:keepLines w:val="0"/>
      <w:tabs>
        <w:tab w:val="num" w:pos="5256"/>
      </w:tabs>
      <w:spacing w:before="0" w:after="120" w:line="240" w:lineRule="auto"/>
      <w:ind w:left="5256" w:hanging="288"/>
    </w:pPr>
    <w:rPr>
      <w:rFonts w:ascii="Palatino Linotype" w:eastAsiaTheme="minorHAnsi" w:hAnsi="Palatino Linotype" w:cstheme="minorBidi"/>
      <w:iCs/>
      <w:color w:val="404040" w:themeColor="text1" w:themeTint="BF"/>
      <w:kern w:val="0"/>
      <w14:ligatures w14:val="none"/>
    </w:rPr>
  </w:style>
  <w:style w:type="paragraph" w:customStyle="1" w:styleId="Heading10">
    <w:name w:val="Heading 10"/>
    <w:basedOn w:val="Heading7"/>
    <w:uiPriority w:val="10"/>
    <w:unhideWhenUsed/>
    <w:rsid w:val="000156DF"/>
    <w:pPr>
      <w:keepNext w:val="0"/>
      <w:keepLines w:val="0"/>
      <w:tabs>
        <w:tab w:val="num" w:pos="4680"/>
      </w:tabs>
      <w:spacing w:before="0" w:after="120" w:line="240" w:lineRule="auto"/>
      <w:ind w:left="4320" w:firstLine="216"/>
    </w:pPr>
    <w:rPr>
      <w:rFonts w:ascii="Palatino Linotype" w:eastAsiaTheme="minorHAnsi" w:hAnsi="Palatino Linotype" w:cstheme="minorBidi"/>
      <w:iCs/>
      <w:color w:val="404040" w:themeColor="text1" w:themeTint="BF"/>
      <w:kern w:val="0"/>
      <w14:ligatures w14:val="none"/>
    </w:rPr>
  </w:style>
  <w:style w:type="paragraph" w:customStyle="1" w:styleId="citation">
    <w:name w:val="citation"/>
    <w:basedOn w:val="Normal"/>
    <w:link w:val="citationChar"/>
    <w:rsid w:val="00090F50"/>
    <w:pPr>
      <w:widowControl w:val="0"/>
      <w:tabs>
        <w:tab w:val="left" w:pos="1440"/>
      </w:tabs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iCs/>
      <w:snapToGrid w:val="0"/>
      <w:kern w:val="0"/>
      <w:szCs w:val="20"/>
      <w14:ligatures w14:val="none"/>
    </w:rPr>
  </w:style>
  <w:style w:type="character" w:customStyle="1" w:styleId="citationChar">
    <w:name w:val="citation Char"/>
    <w:link w:val="citation"/>
    <w:rsid w:val="00090F50"/>
    <w:rPr>
      <w:rFonts w:ascii="Times New Roman" w:eastAsia="Times New Roman" w:hAnsi="Times New Roman" w:cs="Times New Roman"/>
      <w:i/>
      <w:iCs/>
      <w:snapToGrid w:val="0"/>
      <w:kern w:val="0"/>
      <w:szCs w:val="20"/>
      <w14:ligatures w14:val="none"/>
    </w:rPr>
  </w:style>
  <w:style w:type="paragraph" w:customStyle="1" w:styleId="PolicyNormal">
    <w:name w:val="PolicyNormal"/>
    <w:basedOn w:val="Normal"/>
    <w:link w:val="PolicyNormalChar"/>
    <w:qFormat/>
    <w:rsid w:val="004425F1"/>
    <w:pPr>
      <w:spacing w:after="0" w:line="240" w:lineRule="auto"/>
    </w:pPr>
    <w:rPr>
      <w:rFonts w:ascii="Palatino Linotype" w:hAnsi="Palatino Linotype" w:cs="Arial"/>
      <w:color w:val="000000" w:themeColor="text1"/>
      <w:kern w:val="0"/>
      <w14:ligatures w14:val="none"/>
    </w:rPr>
  </w:style>
  <w:style w:type="character" w:customStyle="1" w:styleId="PolicyNormalChar">
    <w:name w:val="PolicyNormal Char"/>
    <w:basedOn w:val="DefaultParagraphFont"/>
    <w:link w:val="PolicyNormal"/>
    <w:rsid w:val="004425F1"/>
    <w:rPr>
      <w:rFonts w:ascii="Palatino Linotype" w:hAnsi="Palatino Linotype" w:cs="Arial"/>
      <w:color w:val="000000" w:themeColor="text1"/>
      <w:kern w:val="0"/>
      <w14:ligatures w14:val="none"/>
    </w:rPr>
  </w:style>
  <w:style w:type="character" w:customStyle="1" w:styleId="PolicyName">
    <w:name w:val="Policy Name"/>
    <w:uiPriority w:val="1"/>
    <w:qFormat/>
    <w:rsid w:val="004425F1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2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F29"/>
  </w:style>
  <w:style w:type="paragraph" w:styleId="Footer">
    <w:name w:val="footer"/>
    <w:basedOn w:val="Normal"/>
    <w:link w:val="FooterChar"/>
    <w:uiPriority w:val="99"/>
    <w:unhideWhenUsed/>
    <w:rsid w:val="001D0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90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4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49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3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7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3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9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2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9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8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0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4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4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8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36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7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2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5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69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3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8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6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1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6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5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6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14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5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7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23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61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0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1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71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8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5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3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Holdsworth</dc:creator>
  <cp:keywords/>
  <dc:description/>
  <cp:lastModifiedBy>Taylor Dewey</cp:lastModifiedBy>
  <cp:revision>2</cp:revision>
  <dcterms:created xsi:type="dcterms:W3CDTF">2026-04-16T14:10:00Z</dcterms:created>
  <dcterms:modified xsi:type="dcterms:W3CDTF">2026-04-16T14:10:00Z</dcterms:modified>
</cp:coreProperties>
</file>